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28" w:rsidRDefault="006E7B2B" w:rsidP="00EF5977">
      <w:pPr>
        <w:spacing w:line="276" w:lineRule="auto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>MICRO-SUPPLY CAPACITY ASSESSMENT</w:t>
      </w:r>
    </w:p>
    <w:p w:rsidR="00684D5B" w:rsidRDefault="00684D5B" w:rsidP="00EF597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684D5B" w:rsidRDefault="00684D5B" w:rsidP="00EF5977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Data Source: Punjab School Census 2018 conducted by the Government of Punjab, Pakistan</w:t>
      </w:r>
    </w:p>
    <w:p w:rsidR="00684D5B" w:rsidRPr="00EF5977" w:rsidRDefault="00684D5B" w:rsidP="00EF597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6E7B2B" w:rsidRPr="00EF5977" w:rsidRDefault="006E7B2B" w:rsidP="00EF59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</w:rPr>
        <w:t xml:space="preserve">A comprehensive assessment is needed in order to determine the capacity of the public sector schools, and among these, to identify </w:t>
      </w:r>
      <w:proofErr w:type="gramStart"/>
      <w:r w:rsidRPr="00EF5977">
        <w:rPr>
          <w:rFonts w:ascii="Times New Roman" w:hAnsi="Times New Roman" w:cs="Times New Roman"/>
        </w:rPr>
        <w:t>the  priority</w:t>
      </w:r>
      <w:proofErr w:type="gramEnd"/>
      <w:r w:rsidRPr="00EF5977">
        <w:rPr>
          <w:rFonts w:ascii="Times New Roman" w:hAnsi="Times New Roman" w:cs="Times New Roman"/>
        </w:rPr>
        <w:t xml:space="preserve"> schools which the programme shall recommend for new admissions. The micro-supply capacity assessment is conducted using the following two indicators:</w:t>
      </w:r>
    </w:p>
    <w:p w:rsidR="006E7B2B" w:rsidRPr="00EF5977" w:rsidRDefault="006E7B2B" w:rsidP="00EF5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</w:rPr>
        <w:t>Capacity Classification (CC)</w:t>
      </w:r>
    </w:p>
    <w:p w:rsidR="006E7B2B" w:rsidRPr="00EF5977" w:rsidRDefault="00F74D36" w:rsidP="00EF5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</w:rPr>
        <w:t>Infrastructure Capacity (IC)</w:t>
      </w:r>
    </w:p>
    <w:p w:rsidR="006E7B2B" w:rsidRPr="00EF5977" w:rsidRDefault="006E7B2B" w:rsidP="00EF5977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>Capacity Classification (CC)</w:t>
      </w:r>
    </w:p>
    <w:p w:rsidR="006E7B2B" w:rsidRPr="00EF5977" w:rsidRDefault="006E7B2B" w:rsidP="00EF59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</w:rPr>
        <w:t xml:space="preserve">CC indicates whether a school has </w:t>
      </w:r>
      <w:r w:rsidR="001D3A67">
        <w:rPr>
          <w:rFonts w:ascii="Times New Roman" w:hAnsi="Times New Roman" w:cs="Times New Roman"/>
        </w:rPr>
        <w:t>the capacity</w:t>
      </w:r>
      <w:r w:rsidRPr="00EF5977">
        <w:rPr>
          <w:rFonts w:ascii="Times New Roman" w:hAnsi="Times New Roman" w:cs="Times New Roman"/>
        </w:rPr>
        <w:t xml:space="preserve"> to accommodate new students. The variables used for its calculation are (i) Maximum School Capacity (MSC) and (ii) Available School Capacity (ASC).</w:t>
      </w:r>
    </w:p>
    <w:p w:rsidR="006E7B2B" w:rsidRPr="00EF5977" w:rsidRDefault="006E7B2B" w:rsidP="00EF59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6E7B2B" w:rsidRPr="00EF5977" w:rsidRDefault="006E7B2B" w:rsidP="00EF59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>Maximum School Capacity (MSC)</w:t>
      </w:r>
    </w:p>
    <w:p w:rsidR="006E7B2B" w:rsidRPr="00EF5977" w:rsidRDefault="006E7B2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MSC indicates the total number of students who can be entertained </w:t>
      </w:r>
      <w:r w:rsidR="00684D5B">
        <w:rPr>
          <w:rFonts w:ascii="Times New Roman" w:hAnsi="Times New Roman" w:cs="Times New Roman"/>
          <w:bCs/>
        </w:rPr>
        <w:t>in</w:t>
      </w:r>
      <w:r w:rsidRPr="00EF5977">
        <w:rPr>
          <w:rFonts w:ascii="Times New Roman" w:hAnsi="Times New Roman" w:cs="Times New Roman"/>
          <w:bCs/>
        </w:rPr>
        <w:t xml:space="preserve"> the school given the student/teacher ratio (40 students /teacher).</w:t>
      </w:r>
    </w:p>
    <w:p w:rsidR="006E7B2B" w:rsidRPr="00EF5977" w:rsidRDefault="006E7B2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>The following variables are used for its calculation:</w:t>
      </w:r>
    </w:p>
    <w:p w:rsidR="006E7B2B" w:rsidRPr="00EF5977" w:rsidRDefault="006E7B2B" w:rsidP="00EF5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 Number of active primary school teachers</w:t>
      </w:r>
    </w:p>
    <w:p w:rsidR="006E7B2B" w:rsidRPr="00EF5977" w:rsidRDefault="006E7B2B" w:rsidP="00EF5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 Number of classrooms for Primary level classes/ children</w:t>
      </w:r>
    </w:p>
    <w:p w:rsidR="006E7B2B" w:rsidRPr="00EF5977" w:rsidRDefault="006E7B2B" w:rsidP="00EF5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 Number of shifts</w:t>
      </w:r>
    </w:p>
    <w:p w:rsidR="006E7B2B" w:rsidRPr="00EF5977" w:rsidRDefault="006E7B2B" w:rsidP="00EF5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 Student/teacher ratio</w:t>
      </w:r>
    </w:p>
    <w:p w:rsidR="006E7B2B" w:rsidRPr="00EF5977" w:rsidRDefault="006E7B2B" w:rsidP="00EF59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 Maximum Shift Capacity (MSFC), which indicates the total number of students who can be entertained during a given shift, based on the number of active primary school teachers and student/teacher ratio</w:t>
      </w:r>
    </w:p>
    <w:p w:rsidR="006E7B2B" w:rsidRPr="00EF5977" w:rsidRDefault="006E7B2B" w:rsidP="00EF5977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>Formula</w:t>
      </w:r>
    </w:p>
    <w:p w:rsidR="00282616" w:rsidRPr="00EF5977" w:rsidRDefault="00282616" w:rsidP="00EF5977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Theme="minorEastAsia" w:hAnsi="Times New Roman" w:cs="Times New Roman"/>
          <w:bCs/>
          <w:highlight w:val="darkGray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highlight w:val="darkGray"/>
            </w:rPr>
            <m:t>MSC=MSFC</m:t>
          </m:r>
          <m:d>
            <m:dPr>
              <m:ctrlPr>
                <w:rPr>
                  <w:rFonts w:ascii="Cambria Math" w:hAnsi="Cambria Math" w:cs="Times New Roman"/>
                  <w:bCs/>
                  <w:highlight w:val="darkGray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highlight w:val="darkGray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highlight w:val="darkGray"/>
            </w:rPr>
            <m:t>+MSFC</m:t>
          </m:r>
          <m:d>
            <m:dPr>
              <m:ctrlPr>
                <w:rPr>
                  <w:rFonts w:ascii="Cambria Math" w:hAnsi="Cambria Math" w:cs="Times New Roman"/>
                  <w:bCs/>
                  <w:highlight w:val="darkGray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highlight w:val="darkGray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highlight w:val="darkGray"/>
            </w:rPr>
            <m:t xml:space="preserve"> </m:t>
          </m:r>
        </m:oMath>
      </m:oMathPara>
    </w:p>
    <w:p w:rsidR="00282616" w:rsidRPr="00EF5977" w:rsidRDefault="00282616" w:rsidP="00EF5977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Theme="minorEastAsia" w:hAnsi="Times New Roman" w:cs="Times New Roman"/>
          <w:bCs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highlight w:val="darkGray"/>
            </w:rPr>
            <m:t xml:space="preserve">  where MSFC is the total No. of Teachers*</m:t>
          </m:r>
          <m:f>
            <m:fPr>
              <m:ctrlPr>
                <w:rPr>
                  <w:rFonts w:ascii="Cambria Math" w:hAnsi="Cambria Math" w:cs="Times New Roman"/>
                  <w:bCs/>
                  <w:highlight w:val="darkGray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highlight w:val="darkGray"/>
                </w:rPr>
                <m:t>Student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highlight w:val="darkGray"/>
                </w:rPr>
                <m:t>Teacher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highlight w:val="darkGray"/>
            </w:rPr>
            <m:t>Ratio</m:t>
          </m:r>
          <m:r>
            <m:rPr>
              <m:sty m:val="p"/>
            </m:rPr>
            <w:rPr>
              <w:rFonts w:ascii="Cambria Math" w:hAnsi="Cambria Math" w:cs="Times New Roman"/>
            </w:rPr>
            <m:t>-------(1)</m:t>
          </m:r>
        </m:oMath>
      </m:oMathPara>
    </w:p>
    <w:p w:rsidR="00282616" w:rsidRPr="00EF5977" w:rsidRDefault="00282616" w:rsidP="00EF5977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Theme="minorEastAsia" w:hAnsi="Times New Roman" w:cs="Times New Roman"/>
          <w:bCs/>
        </w:rPr>
      </w:pPr>
    </w:p>
    <w:p w:rsidR="006E7B2B" w:rsidRPr="00EF5977" w:rsidRDefault="006E7B2B" w:rsidP="00EF5977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hAnsi="Times New Roman" w:cs="Times New Roman"/>
          <w:bCs/>
        </w:rPr>
      </w:pPr>
    </w:p>
    <w:p w:rsidR="006E7B2B" w:rsidRPr="00EF5977" w:rsidRDefault="006E7B2B" w:rsidP="00EF59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>Available School Capacity (ASC)</w:t>
      </w:r>
    </w:p>
    <w:p w:rsidR="00EE0454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>ASC indicates the number of students who can be enrolment levels and the MSC.</w:t>
      </w: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>School Enrolment (SE)</w:t>
      </w: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>SE indicates the number of students enrolled in a school. The following variables are used for its calculation:</w:t>
      </w: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Formula </w:t>
      </w:r>
    </w:p>
    <w:p w:rsidR="00282616" w:rsidRPr="00EF5977" w:rsidRDefault="00282616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Theme="minorEastAsia" w:hAnsi="Times New Roman" w:cs="Times New Roman"/>
          <w:bCs/>
          <w:highlight w:val="darkGray"/>
        </w:rPr>
      </w:pPr>
      <m:oMathPara>
        <m:oMath>
          <m:r>
            <w:rPr>
              <w:rFonts w:ascii="Cambria Math" w:hAnsi="Cambria Math" w:cs="Times New Roman"/>
              <w:highlight w:val="darkGray"/>
            </w:rPr>
            <m:t>SE=SFE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highlight w:val="darkGray"/>
                </w:rPr>
              </m:ctrlPr>
            </m:dPr>
            <m:e>
              <m:r>
                <w:rPr>
                  <w:rFonts w:ascii="Cambria Math" w:hAnsi="Cambria Math" w:cs="Times New Roman"/>
                  <w:highlight w:val="darkGray"/>
                </w:rPr>
                <m:t>1</m:t>
              </m:r>
            </m:e>
          </m:d>
          <m:r>
            <w:rPr>
              <w:rFonts w:ascii="Cambria Math" w:hAnsi="Cambria Math" w:cs="Times New Roman"/>
              <w:highlight w:val="darkGray"/>
            </w:rPr>
            <m:t>+SFC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highlight w:val="darkGray"/>
                </w:rPr>
              </m:ctrlPr>
            </m:dPr>
            <m:e>
              <m:r>
                <w:rPr>
                  <w:rFonts w:ascii="Cambria Math" w:hAnsi="Cambria Math" w:cs="Times New Roman"/>
                  <w:highlight w:val="darkGray"/>
                </w:rPr>
                <m:t>2</m:t>
              </m:r>
            </m:e>
          </m:d>
          <m:r>
            <w:rPr>
              <w:rFonts w:ascii="Cambria Math" w:hAnsi="Cambria Math" w:cs="Times New Roman"/>
              <w:highlight w:val="darkGray"/>
            </w:rPr>
            <m:t xml:space="preserve">  </m:t>
          </m:r>
        </m:oMath>
      </m:oMathPara>
    </w:p>
    <w:p w:rsidR="00282616" w:rsidRPr="00EF5977" w:rsidRDefault="00282616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Theme="minorEastAsia" w:hAnsi="Times New Roman" w:cs="Times New Roman"/>
          <w:bCs/>
        </w:rPr>
      </w:pPr>
      <m:oMathPara>
        <m:oMath>
          <m:r>
            <w:rPr>
              <w:rFonts w:ascii="Cambria Math" w:hAnsi="Cambria Math" w:cs="Times New Roman"/>
              <w:highlight w:val="darkGray"/>
            </w:rPr>
            <m:t>where SFE is the Student shift enrolment</m:t>
          </m:r>
          <m:r>
            <w:rPr>
              <w:rFonts w:ascii="Cambria Math" w:hAnsi="Cambria Math" w:cs="Times New Roman"/>
            </w:rPr>
            <m:t>--------------(2)</m:t>
          </m:r>
        </m:oMath>
      </m:oMathPara>
    </w:p>
    <w:p w:rsidR="00282616" w:rsidRPr="00EF5977" w:rsidRDefault="00282616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6E7B2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>The ASC is calculated deducting the SE from the MSC.</w:t>
      </w: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>Formula</w:t>
      </w:r>
    </w:p>
    <w:p w:rsidR="00282616" w:rsidRPr="00EF5977" w:rsidRDefault="00282616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282616" w:rsidRPr="00EF5977" w:rsidRDefault="00282616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m:oMathPara>
        <m:oMath>
          <m:r>
            <w:rPr>
              <w:rFonts w:ascii="Cambria Math" w:hAnsi="Cambria Math" w:cs="Times New Roman"/>
              <w:highlight w:val="darkGray"/>
            </w:rPr>
            <m:t>ASC+MSC-SE</m:t>
          </m:r>
          <m:r>
            <w:rPr>
              <w:rFonts w:ascii="Cambria Math" w:hAnsi="Cambria Math" w:cs="Times New Roman"/>
            </w:rPr>
            <m:t>--------------------------(3)</m:t>
          </m:r>
        </m:oMath>
      </m:oMathPara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At the end CC </w:t>
      </w:r>
      <w:r w:rsidR="00EF5977">
        <w:rPr>
          <w:rFonts w:ascii="Times New Roman" w:hAnsi="Times New Roman" w:cs="Times New Roman"/>
          <w:bCs/>
        </w:rPr>
        <w:t>calculated using the MSC and ASC</w:t>
      </w: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>Formula</w:t>
      </w: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</w:p>
    <w:p w:rsidR="005957BB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highlight w:val="darkGray"/>
          </w:rPr>
          <m:t>CC%=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highlight w:val="darkGray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bCs/>
                    <w:i/>
                    <w:highlight w:val="darkGray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highlight w:val="darkGray"/>
                  </w:rPr>
                  <m:t>ASC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highlight w:val="darkGray"/>
                  </w:rPr>
                  <m:t>MSC</m:t>
                </m:r>
              </m:den>
            </m:f>
          </m:e>
        </m:d>
        <m:r>
          <m:rPr>
            <m:sty m:val="bi"/>
          </m:rPr>
          <w:rPr>
            <w:rFonts w:ascii="Cambria Math" w:hAnsi="Cambria Math" w:cs="Times New Roman"/>
            <w:highlight w:val="darkGray"/>
          </w:rPr>
          <m:t>*10</m:t>
        </m:r>
        <m:r>
          <m:rPr>
            <m:sty m:val="bi"/>
          </m:rPr>
          <w:rPr>
            <w:rFonts w:ascii="Cambria Math" w:hAnsi="Cambria Math" w:cs="Times New Roman"/>
          </w:rPr>
          <m:t>0-------------------------(4)</m:t>
        </m:r>
      </m:oMath>
    </w:p>
    <w:p w:rsidR="005957BB" w:rsidRPr="00EF5977" w:rsidRDefault="005957BB" w:rsidP="00EF59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B178E4" w:rsidRPr="00EF5977" w:rsidRDefault="005957BB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 xml:space="preserve"> Cut-off Point in CC</w:t>
      </w:r>
    </w:p>
    <w:p w:rsidR="00B178E4" w:rsidRPr="00EF5977" w:rsidRDefault="00B178E4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B178E4" w:rsidRPr="00EF5977" w:rsidRDefault="00B178E4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FD6CE0E" wp14:editId="2EABC8DA">
            <wp:extent cx="5276850" cy="1590675"/>
            <wp:effectExtent l="0" t="0" r="0" b="9525"/>
            <wp:docPr id="8" name="Picture 8" descr="C:\Users\ids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s\Desktop\Cap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E4" w:rsidRPr="00EF5977" w:rsidRDefault="00B178E4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</w:rPr>
        <w:t>For example, if CC is 20%, that means the school is utilizing 80% of its maximum capacity.</w:t>
      </w:r>
    </w:p>
    <w:p w:rsidR="00F74D36" w:rsidRPr="00EF5977" w:rsidRDefault="00F74D36" w:rsidP="00EF59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B178E4" w:rsidRPr="00EF5977" w:rsidRDefault="00F74D36" w:rsidP="00EF59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F5977">
        <w:rPr>
          <w:rFonts w:ascii="Times New Roman" w:hAnsi="Times New Roman" w:cs="Times New Roman"/>
          <w:b/>
        </w:rPr>
        <w:t>Infrastructure Capacity (IC)</w:t>
      </w:r>
    </w:p>
    <w:p w:rsidR="00F74D36" w:rsidRPr="00EF5977" w:rsidRDefault="00F74D36" w:rsidP="00EF59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4D36" w:rsidRPr="00EF5977" w:rsidRDefault="00F74D36" w:rsidP="00EF59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</w:rPr>
        <w:t>IC determines whether a school has the WeT minimum infrastructure conditions.</w:t>
      </w:r>
      <w:r w:rsidR="0016745A" w:rsidRPr="00EF5977">
        <w:rPr>
          <w:rFonts w:ascii="Times New Roman" w:hAnsi="Times New Roman" w:cs="Times New Roman"/>
        </w:rPr>
        <w:t xml:space="preserve"> It takes into account two variables:</w:t>
      </w:r>
    </w:p>
    <w:p w:rsidR="0016745A" w:rsidRPr="00EF5977" w:rsidRDefault="0016745A" w:rsidP="00EF59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</w:rPr>
        <w:t xml:space="preserve">  </w:t>
      </w:r>
    </w:p>
    <w:p w:rsidR="0016745A" w:rsidRPr="00EF5977" w:rsidRDefault="0016745A" w:rsidP="00EF59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</w:rPr>
        <w:t>S</w:t>
      </w:r>
      <w:r w:rsidRPr="00EF5977">
        <w:rPr>
          <w:rFonts w:ascii="Times New Roman" w:hAnsi="Times New Roman" w:cs="Times New Roman"/>
          <w:i/>
          <w:iCs/>
        </w:rPr>
        <w:t xml:space="preserve">chool Construction </w:t>
      </w:r>
      <w:r w:rsidRPr="00EF5977">
        <w:rPr>
          <w:rFonts w:ascii="Times New Roman" w:hAnsi="Times New Roman" w:cs="Times New Roman"/>
        </w:rPr>
        <w:t>(pakka, kacha, mix) indicates whether the school has a building</w:t>
      </w:r>
    </w:p>
    <w:p w:rsidR="0016745A" w:rsidRPr="00EF5977" w:rsidRDefault="0016745A" w:rsidP="00EF59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F5977">
        <w:rPr>
          <w:rFonts w:ascii="Times New Roman" w:hAnsi="Times New Roman" w:cs="Times New Roman"/>
          <w:i/>
          <w:iCs/>
        </w:rPr>
        <w:t>Latrines</w:t>
      </w:r>
      <w:r w:rsidRPr="00EF5977">
        <w:rPr>
          <w:rFonts w:ascii="Times New Roman" w:hAnsi="Times New Roman" w:cs="Times New Roman"/>
        </w:rPr>
        <w:t>, indicates whether the school has at least one latrine</w:t>
      </w:r>
    </w:p>
    <w:p w:rsidR="0016745A" w:rsidRPr="00EF5977" w:rsidRDefault="0016745A" w:rsidP="00EF59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6745A" w:rsidRPr="00EF5977" w:rsidRDefault="0016745A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>Cut-off Point in IC</w:t>
      </w:r>
    </w:p>
    <w:p w:rsidR="000C7BF4" w:rsidRPr="00EF5977" w:rsidRDefault="0068630D" w:rsidP="00EF5977">
      <w:pPr>
        <w:pStyle w:val="ListParagraph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>The results for these three va</w:t>
      </w:r>
      <w:r w:rsidR="000C7BF4" w:rsidRPr="00EF5977">
        <w:rPr>
          <w:rFonts w:ascii="Times New Roman" w:hAnsi="Times New Roman" w:cs="Times New Roman"/>
          <w:bCs/>
        </w:rPr>
        <w:t>riables can be either “yes” or “n”</w:t>
      </w:r>
      <w:r w:rsidRPr="00EF5977">
        <w:rPr>
          <w:rFonts w:ascii="Times New Roman" w:hAnsi="Times New Roman" w:cs="Times New Roman"/>
          <w:bCs/>
        </w:rPr>
        <w:t>.</w:t>
      </w:r>
      <w:r w:rsidR="000C7BF4" w:rsidRPr="00EF5977">
        <w:rPr>
          <w:rFonts w:ascii="Times New Roman" w:hAnsi="Times New Roman" w:cs="Times New Roman"/>
          <w:bCs/>
        </w:rPr>
        <w:t xml:space="preserve"> Which are combined in order to determine if a school has Satisfactory, Moderate. Mediocre, Deficient infrastructure capacity as shown in the Table A1.</w:t>
      </w:r>
    </w:p>
    <w:p w:rsidR="000C7BF4" w:rsidRPr="00EF5977" w:rsidRDefault="000C7BF4" w:rsidP="00EF5977">
      <w:pPr>
        <w:spacing w:line="276" w:lineRule="auto"/>
        <w:rPr>
          <w:rFonts w:ascii="Times New Roman" w:hAnsi="Times New Roman" w:cs="Times New Roman"/>
          <w:b/>
          <w:i/>
          <w:iCs/>
          <w:color w:val="44546A" w:themeColor="text2"/>
        </w:rPr>
      </w:pPr>
      <w:r w:rsidRPr="00EF5977">
        <w:rPr>
          <w:rFonts w:ascii="Times New Roman" w:hAnsi="Times New Roman" w:cs="Times New Roman"/>
          <w:b/>
          <w:i/>
          <w:iCs/>
          <w:color w:val="44546A" w:themeColor="text2"/>
        </w:rPr>
        <w:t xml:space="preserve">Table A1: Results Infrastructure Capacity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4"/>
        <w:gridCol w:w="2548"/>
        <w:gridCol w:w="1396"/>
        <w:gridCol w:w="2065"/>
      </w:tblGrid>
      <w:tr w:rsidR="000C7BF4" w:rsidRPr="000C7BF4" w:rsidTr="000C7BF4">
        <w:trPr>
          <w:trHeight w:val="300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 Construction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 of Classrooms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Latrine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</w:t>
            </w:r>
          </w:p>
        </w:tc>
      </w:tr>
      <w:tr w:rsidR="000C7BF4" w:rsidRPr="000C7BF4" w:rsidTr="000C7BF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At least 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Satisfactory</w:t>
            </w:r>
          </w:p>
        </w:tc>
      </w:tr>
      <w:tr w:rsidR="000C7BF4" w:rsidRPr="000C7BF4" w:rsidTr="000C7BF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At least 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Moderate</w:t>
            </w:r>
          </w:p>
        </w:tc>
      </w:tr>
      <w:tr w:rsidR="000C7BF4" w:rsidRPr="000C7BF4" w:rsidTr="000C7BF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At least 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Mediocre</w:t>
            </w:r>
          </w:p>
        </w:tc>
      </w:tr>
      <w:tr w:rsidR="000C7BF4" w:rsidRPr="000C7BF4" w:rsidTr="000C7BF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At least 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</w:tr>
      <w:tr w:rsidR="000C7BF4" w:rsidRPr="000C7BF4" w:rsidTr="000C7BF4">
        <w:trPr>
          <w:trHeight w:val="300"/>
        </w:trPr>
        <w:tc>
          <w:tcPr>
            <w:tcW w:w="1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977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F4" w:rsidRPr="000C7BF4" w:rsidRDefault="000C7BF4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7BF4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</w:tr>
    </w:tbl>
    <w:p w:rsidR="0016745A" w:rsidRPr="00EF5977" w:rsidRDefault="0016745A" w:rsidP="00EF59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16745A" w:rsidRPr="00EF5977" w:rsidRDefault="00E0708A" w:rsidP="00EF59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F5977">
        <w:rPr>
          <w:rFonts w:ascii="Times New Roman" w:hAnsi="Times New Roman" w:cs="Times New Roman"/>
          <w:b/>
          <w:bCs/>
        </w:rPr>
        <w:t xml:space="preserve">School Classification Analysis </w:t>
      </w:r>
    </w:p>
    <w:p w:rsidR="00E0708A" w:rsidRPr="00EF5977" w:rsidRDefault="00E0708A" w:rsidP="00EF59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EF5977">
        <w:rPr>
          <w:rFonts w:ascii="Times New Roman" w:hAnsi="Times New Roman" w:cs="Times New Roman"/>
          <w:bCs/>
        </w:rPr>
        <w:t xml:space="preserve">The results of the CC and IC are combined to classify a school. For this purpose, the two indicators are weighted the same to classify each school as having sufficient capacity, limited </w:t>
      </w:r>
      <w:r w:rsidRPr="00EF5977">
        <w:rPr>
          <w:rFonts w:ascii="Times New Roman" w:hAnsi="Times New Roman" w:cs="Times New Roman"/>
          <w:bCs/>
        </w:rPr>
        <w:lastRenderedPageBreak/>
        <w:t>capacity, or deficient capacity. Table A2 describes the school classification result for each combination of the indicators.</w:t>
      </w:r>
    </w:p>
    <w:p w:rsidR="00E0708A" w:rsidRPr="00EF5977" w:rsidRDefault="00E0708A" w:rsidP="00EF59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0708A" w:rsidRPr="00EF5977" w:rsidRDefault="00E0708A" w:rsidP="00EF5977">
      <w:pPr>
        <w:pStyle w:val="Caption"/>
        <w:spacing w:line="276" w:lineRule="auto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EF5977">
        <w:rPr>
          <w:rFonts w:ascii="Times New Roman" w:hAnsi="Times New Roman" w:cs="Times New Roman"/>
          <w:b/>
          <w:i w:val="0"/>
          <w:sz w:val="22"/>
          <w:szCs w:val="22"/>
        </w:rPr>
        <w:t>Table A2: School Classification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9"/>
        <w:gridCol w:w="2143"/>
        <w:gridCol w:w="1525"/>
        <w:gridCol w:w="2856"/>
      </w:tblGrid>
      <w:tr w:rsidR="00E0708A" w:rsidRPr="00E0708A" w:rsidTr="00E0708A">
        <w:trPr>
          <w:trHeight w:val="300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School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CC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IC</w:t>
            </w: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School Classification 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H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Moderate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Sufficient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Moderate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Mediocre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Sufficient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Moderate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Mediocre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 xml:space="preserve">Limited 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Mediocre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Mediocre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 xml:space="preserve">Limited 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Mediocre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Moderate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Mediocre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</w:tr>
      <w:tr w:rsidR="00E0708A" w:rsidRPr="00E0708A" w:rsidTr="00E0708A">
        <w:trPr>
          <w:trHeight w:val="300"/>
        </w:trPr>
        <w:tc>
          <w:tcPr>
            <w:tcW w:w="1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08A" w:rsidRPr="00E0708A" w:rsidRDefault="00E0708A" w:rsidP="00EF59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708A">
              <w:rPr>
                <w:rFonts w:ascii="Times New Roman" w:eastAsia="Times New Roman" w:hAnsi="Times New Roman" w:cs="Times New Roman"/>
                <w:color w:val="000000"/>
              </w:rPr>
              <w:t>Deficient</w:t>
            </w:r>
          </w:p>
        </w:tc>
      </w:tr>
    </w:tbl>
    <w:p w:rsidR="00E0708A" w:rsidRDefault="00E0708A" w:rsidP="00EF59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CB4D7A" w:rsidRDefault="00CB4D7A" w:rsidP="00EF59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CB4D7A" w:rsidRPr="00EF5977" w:rsidRDefault="00CB4D7A" w:rsidP="00EF5977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</w:rPr>
      </w:pPr>
    </w:p>
    <w:sectPr w:rsidR="00CB4D7A" w:rsidRPr="00EF5977" w:rsidSect="00EF597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425"/>
    <w:multiLevelType w:val="hybridMultilevel"/>
    <w:tmpl w:val="0958A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6172"/>
    <w:multiLevelType w:val="hybridMultilevel"/>
    <w:tmpl w:val="23200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42AAB"/>
    <w:multiLevelType w:val="hybridMultilevel"/>
    <w:tmpl w:val="BBE2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1FB9"/>
    <w:multiLevelType w:val="hybridMultilevel"/>
    <w:tmpl w:val="88165D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8D4135"/>
    <w:multiLevelType w:val="hybridMultilevel"/>
    <w:tmpl w:val="64AC989C"/>
    <w:lvl w:ilvl="0" w:tplc="FF90DBD6">
      <w:start w:val="1"/>
      <w:numFmt w:val="decimal"/>
      <w:lvlText w:val="%1."/>
      <w:lvlJc w:val="left"/>
      <w:pPr>
        <w:ind w:left="7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213902"/>
    <w:multiLevelType w:val="hybridMultilevel"/>
    <w:tmpl w:val="62EEB048"/>
    <w:lvl w:ilvl="0" w:tplc="25C682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2B"/>
    <w:rsid w:val="000C7BF4"/>
    <w:rsid w:val="0016745A"/>
    <w:rsid w:val="001D3A67"/>
    <w:rsid w:val="00282616"/>
    <w:rsid w:val="005957BB"/>
    <w:rsid w:val="005E0261"/>
    <w:rsid w:val="00684D5B"/>
    <w:rsid w:val="0068630D"/>
    <w:rsid w:val="006E7B2B"/>
    <w:rsid w:val="00987A98"/>
    <w:rsid w:val="00AF554A"/>
    <w:rsid w:val="00B178E4"/>
    <w:rsid w:val="00CB0228"/>
    <w:rsid w:val="00CB4D7A"/>
    <w:rsid w:val="00E0708A"/>
    <w:rsid w:val="00EE0454"/>
    <w:rsid w:val="00EF5977"/>
    <w:rsid w:val="00F7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61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C7B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61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C7B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9422B-CC8B-43FC-AF9C-9923CD9D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</dc:creator>
  <cp:lastModifiedBy>NSER</cp:lastModifiedBy>
  <cp:revision>3</cp:revision>
  <dcterms:created xsi:type="dcterms:W3CDTF">2021-01-20T15:39:00Z</dcterms:created>
  <dcterms:modified xsi:type="dcterms:W3CDTF">2021-01-20T15:39:00Z</dcterms:modified>
</cp:coreProperties>
</file>